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Гигиена труда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1   ·   Вопросов: 12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29.08.2026, 02:42 МСК · База обновлена: 29.08.2026, 02:37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-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-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</w:pPr>
      <w:r>
        <w:t>Ситуационная задача 0001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Гигиена труда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Управлением Роспотребнадзора направлены документы в адрес Центра гигиены и эпидемиологии о проведении измерений вибрации на рабочих местах станочников лесопильного производства при внеплановой проверке выполнения предписания.</w:t>
      </w:r>
    </w:p>
    <w:p>
      <w:pPr>
        <w:pStyle w:val="Heading3"/>
      </w:pPr>
      <w:r>
        <w:t>1.2. Приборы и нормативно-методические документы</w:t>
      </w:r>
    </w:p>
    <w:p>
      <w:pPr>
        <w:spacing w:after="58"/>
      </w:pPr>
      <w:r>
        <w:rPr>
          <w:b w:val="0"/>
          <w:i w:val="0"/>
        </w:rPr>
        <w:t>На оснащении Центра гигиены и эпидемиологии для измерения вибрации имеются необходимые приборы и нормативно-методические документы, утвержденные в установленном порядке.</w:t>
      </w:r>
    </w:p>
    <w:p>
      <w:pPr>
        <w:pStyle w:val="Heading3"/>
      </w:pPr>
      <w:r>
        <w:t>1.3. Оформление документов по результатам измерения</w:t>
      </w:r>
    </w:p>
    <w:p>
      <w:pPr>
        <w:spacing w:after="58"/>
      </w:pPr>
      <w:r>
        <w:rPr>
          <w:b w:val="0"/>
          <w:i w:val="0"/>
        </w:rPr>
        <w:t>По результатам измерений вибрации на рабочих местах станочников лесопильного производства оформляются необходимые документы и представляются в Управление Роспотребнадзора региона в установленном порядке.</w:t>
      </w:r>
    </w:p>
    <w:p>
      <w:pPr>
        <w:pStyle w:val="Heading3"/>
      </w:pPr>
      <w:r>
        <w:t>1.4. Дополнительная информация</w:t>
      </w:r>
    </w:p>
    <w:p>
      <w:pPr>
        <w:spacing w:after="58"/>
      </w:pPr>
      <w:r>
        <w:rPr>
          <w:b w:val="0"/>
          <w:i w:val="0"/>
        </w:rPr>
        <w:t>СанПиН 1.2.3685-21 Гигиенические нормативы и требования к обеспечению безопасности и (или) безвредности для человека факторов среды обитания</w:t>
      </w:r>
    </w:p>
    <w:p>
      <w:pPr>
        <w:spacing w:after="58"/>
      </w:pPr>
      <w:r>
        <w:rPr>
          <w:b w:val="0"/>
          <w:i w:val="0"/>
        </w:rPr>
        <w:t>Предельно допустимые значения и уровни производственной вибрации</w:t>
      </w:r>
    </w:p>
    <w:p>
      <w:pPr>
        <w:spacing w:after="58"/>
      </w:pPr>
      <w:r>
        <w:rPr>
          <w:b w:val="0"/>
          <w:i w:val="0"/>
        </w:rPr>
        <w:t>Таблица 5.4</w:t>
      </w:r>
    </w:p>
    <w:p>
      <w:r>
        <w:drawing>
          <wp:inline xmlns:a="http://schemas.openxmlformats.org/drawingml/2006/main" xmlns:pic="http://schemas.openxmlformats.org/drawingml/2006/picture">
            <wp:extent cx="5303520" cy="5187254"/>
            <wp:docPr id="4" name="Picture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ed62932c0c4f2a6b662586d709e5b2caabc49f9e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5187254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1.png</w:t>
      </w:r>
    </w:p>
    <w:p>
      <w:pPr>
        <w:pStyle w:val="Heading2"/>
      </w:pPr>
      <w:r>
        <w:t>1. Правовые основы обследования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Законодательным правовым основанием для проведения измерений вибрации на рабочих местах станочников лесопильного производства при внеплановой проверке объекта контроля (надзора)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распоряжение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уведомление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определение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информационное письмо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определение</w:t>
      </w:r>
    </w:p>
    <w:p>
      <w:pPr>
        <w:spacing w:after="58"/>
      </w:pPr>
      <w:r>
        <w:rPr>
          <w:b w:val="0"/>
          <w:i w:val="0"/>
        </w:rPr>
        <w:t>Основаниями для проведения санитарно-эпидемиологических экспертиз, обследований, исследований, испытаний и токсикологических, гигиенических и иных видов оценок могут быть:</w:t>
      </w:r>
    </w:p>
    <w:p>
      <w:pPr>
        <w:spacing w:after="58"/>
      </w:pPr>
      <w:r>
        <w:rPr>
          <w:b w:val="0"/>
          <w:i w:val="0"/>
        </w:rPr>
        <w:t>… - определения, вынесенные должностными лицами в соответствии с Кодексом Российской Федерации об административных правонарушениях;</w:t>
      </w:r>
    </w:p>
    <w:p>
      <w:pPr>
        <w:spacing w:after="58"/>
      </w:pPr>
      <w:r>
        <w:rPr>
          <w:b w:val="0"/>
          <w:i w:val="0"/>
        </w:rPr>
        <w:t>Приказ Федеральной службы по надзору в сфере защиты прав потребителей и благополучия человека «О санитарно-эпидемиологических экспертизах, санитарно-эпидемиологических экспертизах, обследованиях, исследованиях, испытаниях и токсикологических, гигиенических и иных видах оценок» от 19.07.2007 г. № 224, приложение 1, р. II, п. 4</w:t>
      </w:r>
    </w:p>
    <w:p>
      <w:pPr>
        <w:spacing w:after="58"/>
      </w:pPr>
      <w:hyperlink r:id="rId21">
        <w:r>
          <w:rPr>
            <w:color w:val="173C49"/>
            <w:u w:val="single"/>
          </w:rPr>
          <w:t xml:space="preserve">Приказ Федеральной службы по надзору в сфере защиты прав потребителей и благополучия человека «О санитарно-эпидемиологических экспертизах, санитарно-эпидемиологических экспертизах, обследованиях, исследованиях, испытаниях и токсикологических, гигиенических и иных видах оценок» от 19.07.2007 г. № 224</w:t>
        </w:r>
      </w:hyperlink>
    </w:p>
    <w:p>
      <w:pPr>
        <w:spacing w:after="58"/>
      </w:pPr>
      <w:hyperlink r:id="rId22">
        <w:r>
          <w:rPr>
            <w:color w:val="173C49"/>
            <w:u w:val="single"/>
          </w:rPr>
          <w:t xml:space="preserve">(1)</w:t>
        </w:r>
      </w:hyperlink>
    </w:p>
    <w:p>
      <w:pPr>
        <w:pStyle w:val="Heading2"/>
      </w:pPr>
      <w:r>
        <w:t>2. Специализированное оборудование</w:t>
      </w:r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 xml:space="preserve">На рабочих местах станочников лесопильного производства могут воздействовать вибрации, передающиеся на ноги от стационарного оборудования и руки, при удержании обрабатываемых заготовок, которые относятся к вибрациям </w:t>
      </w:r>
      <w:r>
        <w:rPr>
          <w:b w:val="0"/>
          <w:i w:val="0"/>
        </w:rPr>
        <w:t>____________</w:t>
      </w:r>
      <w:r>
        <w:rPr>
          <w:b w:val="0"/>
          <w:i w:val="0"/>
        </w:rPr>
        <w:t xml:space="preserve"> соответственно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только общим и локальным транспортно-технологическим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общим технологическим и локальным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только общим и локальным транспортным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общим и локальным транспортным и транспортно-технологическим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общим технологическим и локальным</w:t>
      </w:r>
    </w:p>
    <w:p>
      <w:pPr>
        <w:spacing w:after="58"/>
      </w:pPr>
      <w:r>
        <w:rPr>
          <w:b w:val="0"/>
          <w:i w:val="0"/>
        </w:rPr>
        <w:t>Предельно допустимые значения и уровни производственной вибрации</w:t>
      </w:r>
    </w:p>
    <w:p>
      <w:pPr>
        <w:spacing w:after="58"/>
      </w:pPr>
      <w:r>
        <w:rPr>
          <w:b w:val="0"/>
          <w:i w:val="0"/>
        </w:rPr>
        <w:t>Таблица 5.4</w:t>
      </w:r>
    </w:p>
    <w:p>
      <w:r>
        <w:drawing>
          <wp:inline xmlns:a="http://schemas.openxmlformats.org/drawingml/2006/main" xmlns:pic="http://schemas.openxmlformats.org/drawingml/2006/picture">
            <wp:extent cx="5303520" cy="5187254"/>
            <wp:docPr id="7" name="Picture 7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ed62932c0c4f2a6b662586d709e5b2caabc49f9e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5187254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1.png</w:t>
      </w:r>
    </w:p>
    <w:p>
      <w:pPr>
        <w:spacing w:after="58"/>
      </w:pPr>
      <w:r>
        <w:rPr>
          <w:b w:val="0"/>
          <w:i w:val="0"/>
        </w:rPr>
        <w:t>СанПиН 1.2.3685-21 Гигиенические нормативы и требования к обеспечению безопасности и (или) безвредности для человека факторов среды обитания, табл. 5.4</w:t>
      </w:r>
    </w:p>
    <w:p>
      <w:pPr>
        <w:spacing w:after="58"/>
      </w:pPr>
      <w:hyperlink r:id="rId24">
        <w:r>
          <w:rPr>
            <w:color w:val="173C49"/>
            <w:u w:val="single"/>
          </w:rPr>
          <w:t xml:space="preserve">Постановление Главного государственного санитарного врача РФ от 28 января 2021 г. N 2 "Об утверждении санитарных правил и норм СанПиН 1.2.3685-21 "Гигиенические нормативы и требования к обеспечению безопасности и (или) безвредности для человека факторов среды обитания" (с изменениями и дополнениями)</w:t>
        </w:r>
      </w:hyperlink>
    </w:p>
    <w:p>
      <w:pPr>
        <w:spacing w:after="58"/>
      </w:pPr>
      <w:hyperlink r:id="rId25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Измерение вибрации на рабочих местах станочников лесопильного производства проводится на основании утверждённых в установленном порядке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санитарно-эпидемиологических правил и нормативов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государственных стандартов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технических регламентов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отраслевых стандартов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государственных стандартов</w:t>
      </w:r>
    </w:p>
    <w:p>
      <w:pPr>
        <w:spacing w:after="58"/>
      </w:pPr>
      <w:r>
        <w:rPr>
          <w:b w:val="0"/>
          <w:i w:val="0"/>
        </w:rPr>
        <w:t>+1.+ Область применения.</w:t>
        <w:br/>
        <w:t>[none]</w:t>
        <w:br/>
        <w:t>* Настоящий стандарт устанавливает общие требования по измерению и представлению результатов измерений локальной вибрации в трех взаимно ортогональных направлениях.</w:t>
        <w:br/>
        <w:t>* ГОСТ 31192.1-2004 (ИСО 5349-1:2001) Межгосударственный стандарт. Вибрация. Измерение локальной вибрации и оценка её воздействия на человека, Часть 1. Общие требования.</w:t>
      </w:r>
    </w:p>
    <w:p>
      <w:pPr>
        <w:spacing w:after="58"/>
      </w:pPr>
      <w:r>
        <w:rPr>
          <w:b w:val="0"/>
          <w:i w:val="0"/>
        </w:rPr>
        <w:t>+1.+ Область применения.</w:t>
        <w:br/>
        <w:t>[none]</w:t>
        <w:br/>
        <w:t>* Настоящий стандарт устанавливает требования к проведению измерений и оценке воздействия локальной вибрации на рабочем месте в соответствии с основополагающими стандартами ГОСТ 12.1.012 и ГОСТ 31192.1.</w:t>
        <w:br/>
        <w:t>* ГОСТ 31192.2-2005 (ИСО 5349-2:2001) Межгосударственный стандарт. Вибрация. Измерение локальной вибрации и оценка ее воздействия на человека, Часть 1. Общие требования.</w:t>
      </w:r>
    </w:p>
    <w:p>
      <w:pPr>
        <w:spacing w:after="58"/>
      </w:pPr>
      <w:r>
        <w:rPr>
          <w:b w:val="0"/>
          <w:i w:val="0"/>
        </w:rPr>
        <w:t>+1.+ Область применения</w:t>
        <w:br/>
        <w:t>[none]</w:t>
        <w:br/>
        <w:t>* Настоящий стандарт устанавливает руководство по проведению измерений и оценке общей вибрации на рабочем месте. Получаемый в соответствии с настоящим стандартом нормируемый параметр вибрации - эквивалентное виброускорение (см. ГОСТ 31191.1) - следует согласно ГОСТ 12.1.012 сопоставлять с установленным гигиеническим нормативом…</w:t>
        <w:br/>
        <w:t>* ГОСТ 31319-2006 (ЕН 14253:2003) Вибрация. Измерение общей вибрации и оценка ее воздействия на человека. Требования к проведению измерений на рабочих местах, Часть 1. Общие требования.</w:t>
      </w:r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 xml:space="preserve">Для измерения вибрации используются приборы </w:t>
      </w:r>
      <w:r>
        <w:rPr>
          <w:b w:val="0"/>
          <w:i w:val="0"/>
        </w:rPr>
        <w:t>________</w:t>
      </w:r>
      <w:r>
        <w:rPr>
          <w:b w:val="0"/>
          <w:i w:val="0"/>
        </w:rPr>
        <w:t>, поверенные в соответствии с национальной метрологической схемой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дозиметры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виброметры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акселерометры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актинометры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виброметры</w:t>
      </w:r>
    </w:p>
    <w:p>
      <w:pPr>
        <w:spacing w:after="58"/>
      </w:pPr>
      <w:r>
        <w:rPr>
          <w:b w:val="0"/>
          <w:i w:val="0"/>
        </w:rPr>
        <w:t>Измерения вибрации должны выполняться виброметрами, удовлетворяющими требованиям межгосударственного стандарта (ГОСТ ИСО 8041-2006 «Вибрация. Воздействие вибрации на человека. Средства измерений»), и оснащенными октавными и третьоктавными фильтрами класса 1 по национальному стандарту Российской Федерации (ГОСТ Р 8.714-2010 (МЭК 61260:1995) «Фильтры полосовые октавные и на доли октавы. Технические требования и методы испытаний»).</w:t>
      </w:r>
    </w:p>
    <w:p>
      <w:pPr>
        <w:spacing w:after="58"/>
      </w:pPr>
      <w:r>
        <w:rPr>
          <w:b w:val="0"/>
          <w:i w:val="0"/>
        </w:rPr>
        <w:t>Письмо Роспотребнадзора РФ от 23 июня 2021 г. № 02/12560-2021-32 Об оценке воздействия физических факторов, п. 3.3.</w:t>
      </w:r>
    </w:p>
    <w:p>
      <w:pPr>
        <w:spacing w:after="58"/>
      </w:pPr>
      <w:hyperlink r:id="rId26">
        <w:r>
          <w:rPr>
            <w:color w:val="173C49"/>
            <w:u w:val="single"/>
          </w:rPr>
          <w:t xml:space="preserve">Письмо Роспотребнадзора от 23.06.2021 N 02/12560-2021-32 "Об оценке воздействия физических факторов" (вместе с "О проведении измерений физических факторов неионизирующей природы в условиях производства и санитарно-эпидемиологической оценке условий труда")</w:t>
        </w:r>
      </w:hyperlink>
    </w:p>
    <w:p>
      <w:pPr>
        <w:spacing w:after="58"/>
      </w:pPr>
      <w:hyperlink r:id="rId27">
        <w:r>
          <w:rPr>
            <w:color w:val="173C49"/>
            <w:u w:val="single"/>
          </w:rPr>
          <w:t xml:space="preserve">(1)</w:t>
        </w:r>
      </w:hyperlink>
    </w:p>
    <w:p>
      <w:pPr>
        <w:pStyle w:val="Heading2"/>
      </w:pPr>
      <w:r>
        <w:t>3. Санитарные требования</w:t>
      </w:r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К нормируемым показателям вибрации, воздействующим на рабочих местах станочников лесопильного производства, относят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эквивалентные корректированные уровни виброускорения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только уровни виброускорения в октавных полосах частот 2-63 Гц и 8-1000 Гц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уровни виброскорости и виброускорения в октавных полосах частот 2-63 Гц и 8-1000 Гц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только уровни виброскорости в октавных полосах частот 2-63 Гц и 8-1000 Гц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эквивалентные корректированные уровни виброускорения</w:t>
      </w:r>
    </w:p>
    <w:p>
      <w:pPr>
        <w:spacing w:after="58"/>
      </w:pPr>
      <w:r>
        <w:rPr>
          <w:b w:val="0"/>
          <w:i w:val="0"/>
        </w:rPr>
        <w:t>Предельно допустимые значения и уровни производственной вибрации</w:t>
      </w:r>
    </w:p>
    <w:p>
      <w:pPr>
        <w:spacing w:after="58"/>
      </w:pPr>
      <w:r>
        <w:rPr>
          <w:b w:val="0"/>
          <w:i w:val="0"/>
        </w:rPr>
        <w:t>Таблица 5.4</w:t>
      </w:r>
    </w:p>
    <w:p>
      <w:r>
        <w:drawing>
          <wp:inline xmlns:a="http://schemas.openxmlformats.org/drawingml/2006/main" xmlns:pic="http://schemas.openxmlformats.org/drawingml/2006/picture">
            <wp:extent cx="5303520" cy="5187254"/>
            <wp:docPr id="11" name="Picture 1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ed62932c0c4f2a6b662586d709e5b2caabc49f9e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5187254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1.png</w:t>
      </w:r>
    </w:p>
    <w:p>
      <w:pPr>
        <w:spacing w:after="58"/>
      </w:pPr>
      <w:r>
        <w:rPr>
          <w:b w:val="0"/>
          <w:i w:val="0"/>
        </w:rPr>
        <w:t>СанПиН 1.2.3685-21 Гигиенические нормативы и требования к обеспечению безопасности и (или) безвредности для человека факторов среды обитания, табл. 5.4</w:t>
      </w:r>
    </w:p>
    <w:p>
      <w:pPr>
        <w:spacing w:after="58"/>
      </w:pPr>
      <w:hyperlink r:id="rId24">
        <w:r>
          <w:rPr>
            <w:color w:val="173C49"/>
            <w:u w:val="single"/>
          </w:rPr>
          <w:t xml:space="preserve">Постановление Главного государственного санитарного врача РФ от 28 января 2021 г. N 2 "Об утверждении санитарных правил и норм СанПиН 1.2.3685-21 "Гигиенические нормативы и требования к обеспечению безопасности и (или) безвредности для человека факторов среды обитания" (с изменениями и дополнениями)</w:t>
        </w:r>
      </w:hyperlink>
    </w:p>
    <w:p>
      <w:pPr>
        <w:spacing w:after="58"/>
      </w:pPr>
      <w:hyperlink r:id="rId25">
        <w:r>
          <w:rPr>
            <w:color w:val="173C49"/>
            <w:u w:val="single"/>
          </w:rPr>
          <w:t xml:space="preserve">(1)</w:t>
        </w:r>
      </w:hyperlink>
    </w:p>
    <w:p>
      <w:pPr>
        <w:pStyle w:val="Heading2"/>
      </w:pPr>
      <w:r>
        <w:t>4. Специализированное оборудование</w:t>
      </w:r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До проведения измерения вибрации проверяют исправность прибора и наличие действующего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паспорта на прибор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руководства по эксплуатации прибора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сертификата на прибор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свидетельства о государственной поверке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свидетельства о государственной поверке</w:t>
      </w:r>
    </w:p>
    <w:p>
      <w:pPr>
        <w:spacing w:after="58"/>
      </w:pPr>
      <w:r>
        <w:rPr>
          <w:b w:val="0"/>
          <w:i w:val="0"/>
        </w:rPr>
        <w:t>+11.+ Виды испытаний</w:t>
        <w:br/>
        <w:t>[none]</w:t>
        <w:br/>
        <w:t>* b) Поверка проводится аккредитованными организациями с целью:- периодически (перед покупкой и затем с периодичностью раз в год или раз в два года) подтверждать, что характеристики средства измерений продолжают удовлетворять требованиям настоящего стандарта;</w:t>
      </w:r>
    </w:p>
    <w:p>
      <w:pPr>
        <w:spacing w:after="58"/>
      </w:pPr>
      <w:r>
        <w:rPr>
          <w:b w:val="0"/>
          <w:i w:val="0"/>
        </w:rPr>
        <w:t>ГОСТ ИСО 8041-2006 Межгосударственный стандарт. Вибрация. Воздействие вибрации на человека. Средства измерений, п. 11</w:t>
      </w:r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При измерении общей технологической вибрации акселерометры устанавливают в точке контакта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стоп с педальным органом управления станком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кистей рук с вибрирующей поверхностью обрабатываемых деталей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ног с вибрирующей поверхностью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предплечий с рабочим столом станка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ног с вибрирующей поверхностью</w:t>
      </w:r>
    </w:p>
    <w:p>
      <w:pPr>
        <w:spacing w:after="58"/>
      </w:pPr>
      <w:r>
        <w:rPr>
          <w:b w:val="0"/>
          <w:i w:val="0"/>
        </w:rPr>
        <w:t>6.1.3 Место установки и способы крепления акселерометров</w:t>
      </w:r>
    </w:p>
    <w:p>
      <w:pPr>
        <w:spacing w:after="58"/>
      </w:pPr>
      <w:r>
        <w:rPr>
          <w:b w:val="0"/>
          <w:i w:val="0"/>
        </w:rPr>
        <w:t>6.1.3.1 Общие положения Акселерометры устанавливают таким образом, чтобы измерять вибрацию в точке контакта тела человека с вибрирующей поверхностью.</w:t>
      </w:r>
    </w:p>
    <w:p>
      <w:pPr>
        <w:spacing w:after="58"/>
      </w:pPr>
      <w:r>
        <w:rPr>
          <w:b w:val="0"/>
          <w:i w:val="0"/>
        </w:rPr>
        <w:t>ГОСТ 31319-2006 (ЕН 14253:2003) Вибрация. Измерение общей вибрации и оценка ее воздействия на человека. Требования к проведению измерений на рабочих местах, п.6.1.3, п.п. 6.1.3.1</w:t>
      </w:r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При измерении локальной вибрации акселерометр рекомендуется устанавливать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на обрабатываемых деталях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на корпусе станка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на рабочем столе станка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вблизи места соприкосновения ладони с вибрирующей поверхностью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вблизи места соприкосновения ладони с вибрирующей поверхностью</w:t>
      </w:r>
    </w:p>
    <w:p>
      <w:pPr>
        <w:spacing w:after="58"/>
      </w:pPr>
      <w:r>
        <w:rPr>
          <w:b w:val="0"/>
          <w:i w:val="0"/>
        </w:rPr>
        <w:t>6.1.3 Места установки акселерометров.</w:t>
      </w:r>
    </w:p>
    <w:p>
      <w:pPr>
        <w:spacing w:after="58"/>
      </w:pPr>
      <w:r>
        <w:rPr>
          <w:b w:val="0"/>
          <w:i w:val="0"/>
        </w:rPr>
        <w:t>Согласно ГОСТ 31192.1 измерения вибрации следует проводить в непосредственной близости от того места на ладони (ладонях), которое соприкасается с вибрирующей поверхностью…...</w:t>
      </w:r>
    </w:p>
    <w:p>
      <w:pPr>
        <w:spacing w:after="58"/>
      </w:pPr>
      <w:r>
        <w:rPr>
          <w:b w:val="0"/>
          <w:i w:val="0"/>
        </w:rPr>
        <w:t>ГОСТ 31192.2-2005 (ИСО 5349-2:2001) Межгосударственный стандарт. Вибрация. Измерение локальной вибрации и оценка ее воздействия на человека, п. 6.1.3</w:t>
      </w:r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При воздействии общей технологической вибрации для каждой операции в направлениях осей ортогональной системы координат измеряют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среднее значение виброскорости и общую длительность выполняемой трудовой функции в течение не менее 0,75 рабочей смены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максимальное значение виброскорости и максимальную длительность производственных операций в течение не менее 0,85 рабочей смены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среднеквадратичное значение виброскорости и общую длительность рабочих операций в течение не менее 0,5 рабочей смены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среднеквадратичное значение корректированного виброускорения и общую длительность воздействия вибрации при выполнении операций в течение рабочего дня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среднеквадратичное значение корректированного виброускорения и общую длительность воздействия вибрации при выполнении операций в течение рабочего дня</w:t>
      </w:r>
    </w:p>
    <w:p>
      <w:pPr>
        <w:spacing w:after="58"/>
      </w:pPr>
      <w:r>
        <w:rPr>
          <w:b w:val="0"/>
          <w:i w:val="0"/>
        </w:rPr>
        <w:t>Для каждой _i_-й операции измерению (оценке) подлежат следующие основные параметры:</w:t>
      </w:r>
    </w:p>
    <w:p>
      <w:pPr>
        <w:spacing w:after="58"/>
      </w:pPr>
      <w:r>
        <w:rPr>
          <w:b w:val="0"/>
          <w:i w:val="0"/>
        </w:rPr>
        <w:t>- среднеквадратичное значение корректированного виброускорения _a</w:t>
      </w:r>
      <w:r>
        <w:rPr>
          <w:b w:val="0"/>
          <w:i w:val="0"/>
          <w:vertAlign w:val="subscript"/>
        </w:rPr>
        <w:t>wi</w:t>
      </w:r>
      <w:r>
        <w:rPr>
          <w:b w:val="0"/>
          <w:i w:val="0"/>
        </w:rPr>
        <w:t>_, м/с</w:t>
      </w:r>
      <w:r>
        <w:rPr>
          <w:b w:val="0"/>
          <w:i w:val="0"/>
          <w:vertAlign w:val="superscript"/>
        </w:rPr>
        <w:t>2</w:t>
      </w:r>
      <w:r>
        <w:rPr>
          <w:b w:val="0"/>
          <w:i w:val="0"/>
        </w:rPr>
        <w:t>, вдоль каждой из трех осей системы координат, связанной с опорной поверхностью</w:t>
      </w:r>
    </w:p>
    <w:p>
      <w:pPr>
        <w:spacing w:after="58"/>
      </w:pPr>
      <w:r>
        <w:rPr>
          <w:b w:val="0"/>
          <w:i w:val="0"/>
        </w:rPr>
        <w:t>- общая длительность воздействия вибрации в процессе выполнения _i_-й операции в течение рабочего дня.</w:t>
      </w:r>
    </w:p>
    <w:p>
      <w:pPr>
        <w:spacing w:after="58"/>
      </w:pPr>
      <w:r>
        <w:rPr>
          <w:b w:val="0"/>
          <w:i w:val="0"/>
        </w:rPr>
        <w:t>ГОСТ 31319-2006 (ЕН 14253:2003) Вибрация. Измерение общей вибрации и оценка ее воздействия на человека. Требования к проведению измерений на рабочих местах, п. 4.</w:t>
      </w:r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Для каждого измеренного значения вибрации определяют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6" name="Picture 16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неопределенность измерений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погрешность измерительного тракта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погрешность измерений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погрешность прибора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неопределенность измерений</w:t>
      </w:r>
    </w:p>
    <w:p>
      <w:pPr>
        <w:spacing w:after="58"/>
      </w:pPr>
      <w:r>
        <w:rPr>
          <w:b w:val="0"/>
          <w:i w:val="0"/>
        </w:rPr>
        <w:t>При измерении вибрации, воздействующей на оператора, каждое конкретное измерение сопровождается соответствующей неопределенностью, которая зависит от следующих факторов:…</w:t>
      </w:r>
    </w:p>
    <w:p>
      <w:pPr>
        <w:spacing w:after="58"/>
      </w:pPr>
      <w:r>
        <w:rPr>
          <w:b w:val="0"/>
          <w:i w:val="0"/>
        </w:rPr>
        <w:t>ГОСТ 31319-2006 (ЕН 14253:2003) Вибрация. Измерение общей вибрации и оценка ее воздействия на человека. Требования к проведению измерений на рабочих местах, п. 7.1</w:t>
      </w:r>
    </w:p>
    <w:p>
      <w:pPr>
        <w:pStyle w:val="Heading2"/>
      </w:pPr>
      <w:r>
        <w:t>5. Правовые основы обследования</w:t>
      </w:r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По результатам измерения вибрации на объекте контроля (надзора) врач по гигиене труда центра гигиены и эпидемиологии оформляет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протокол исследования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7" name="Picture 17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акт обследования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акт проверки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экспертное заключение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акт обследования</w:t>
      </w:r>
    </w:p>
    <w:p>
      <w:pPr>
        <w:spacing w:after="58"/>
      </w:pPr>
      <w:r>
        <w:rPr>
          <w:b w:val="0"/>
          <w:i w:val="0"/>
        </w:rPr>
        <w:t>+8.+ Результаты санитарно-эпидемиологических экспертиз, обследований, исследований, испытаний и токсикологических, гигиенических и иных видов оценок оформляются в виде экспертного заключения, акта обследования, протокола исследований (испытаний).</w:t>
      </w:r>
    </w:p>
    <w:p>
      <w:pPr>
        <w:spacing w:after="58"/>
      </w:pPr>
      <w:r>
        <w:rPr>
          <w:b w:val="0"/>
          <w:i w:val="0"/>
        </w:rPr>
        <w:t>Приказ Федеральной службы по надзору в сфере защиты прав потребителей и благополучия человека «О санитарно-эпидемиологических экспертизах, санитарно-эпидемиологических экспертизах, обследованиях, исследованиях, испытаниях и токсикологических, гигиенических и иных видах оценок» от 19.07.2007 г. № 224, приложение 1, р. II, п. 8.</w:t>
      </w:r>
    </w:p>
    <w:p>
      <w:pPr>
        <w:spacing w:after="58"/>
      </w:pPr>
      <w:hyperlink r:id="rId21">
        <w:r>
          <w:rPr>
            <w:color w:val="173C49"/>
            <w:u w:val="single"/>
          </w:rPr>
          <w:t xml:space="preserve">Приказ Федеральной службы по надзору в сфере защиты прав потребителей и благополучия человека «О санитарно-эпидемиологических экспертизах, санитарно-эпидемиологических экспертизах, обследованиях, исследованиях, испытаниях и токсикологических, гигиенических и иных видах оценок» от 19.07.2007 г. № 224</w:t>
        </w:r>
      </w:hyperlink>
    </w:p>
    <w:p>
      <w:pPr>
        <w:spacing w:after="58"/>
      </w:pPr>
      <w:hyperlink r:id="rId30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На основании акта обследования объекта контроля (надзора) испытательный лабораторный центр составляет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экспертное заключение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карту измерений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акт измерений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8" name="Picture 18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протокол исследования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протокол исследования</w:t>
      </w:r>
    </w:p>
    <w:p>
      <w:pPr>
        <w:spacing w:after="58"/>
      </w:pPr>
      <w:r>
        <w:rPr>
          <w:b w:val="0"/>
          <w:i w:val="0"/>
        </w:rPr>
        <w:t>+8.+ Результаты санитарно-эпидемиологических экспертиз, обследований, исследований, испытаний и токсикологических, гигиенических и иных видов оценок оформляются в виде экспертного заключения, акта обследования, протокола исследований (испытаний).</w:t>
      </w:r>
    </w:p>
    <w:p>
      <w:pPr>
        <w:spacing w:after="58"/>
      </w:pPr>
      <w:r>
        <w:rPr>
          <w:b w:val="0"/>
          <w:i w:val="0"/>
        </w:rPr>
        <w:t>Приказ Федеральной службы по надзору в сфере защиты прав потребителей и благополучия человека «О санитарно-эпидемиологических экспертизах, санитарно-эпидемиологических экспертизах, обследованиях, исследованиях, испытаниях и токсикологических, гигиенических и иных видах оценок» от 19.07.2007 г. № 224, приложение 1, р. II, п. 8.</w:t>
      </w:r>
    </w:p>
    <w:p>
      <w:pPr>
        <w:spacing w:after="58"/>
      </w:pPr>
      <w:hyperlink r:id="rId21">
        <w:r>
          <w:rPr>
            <w:color w:val="173C49"/>
            <w:u w:val="single"/>
          </w:rPr>
          <w:t xml:space="preserve">Приказ Федеральной службы по надзору в сфере защиты прав потребителей и благополучия человека «О санитарно-эпидемиологических экспертизах, санитарно-эпидемиологических экспертизах, обследованиях, исследованиях, испытаниях и токсикологических, гигиенических и иных видах оценок» от 19.07.2007 г. № 224</w:t>
        </w:r>
      </w:hyperlink>
    </w:p>
    <w:p>
      <w:pPr>
        <w:spacing w:after="58"/>
      </w:pPr>
      <w:hyperlink r:id="rId30">
        <w:r>
          <w:rPr>
            <w:color w:val="173C49"/>
            <w:u w:val="single"/>
          </w:rPr>
          <w:t xml:space="preserve">(1)</w:t>
        </w:r>
      </w:hyperlink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Гигиена труда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hyperlink" Target="https://library.mededtech.ru/rest/documents/prikazN224/" TargetMode="External"/><Relationship Id="rId22" Type="http://schemas.openxmlformats.org/officeDocument/2006/relationships/hyperlink" Target="https://library.mededtech.ru/rest/documents/prikazN224/#paragraph_dt5gjs" TargetMode="External"/><Relationship Id="rId23" Type="http://schemas.openxmlformats.org/officeDocument/2006/relationships/image" Target="media/image6.png"/><Relationship Id="rId24" Type="http://schemas.openxmlformats.org/officeDocument/2006/relationships/hyperlink" Target="https://library.mededtech.ru/rest/documents/sp1.2.3685-21/" TargetMode="External"/><Relationship Id="rId25" Type="http://schemas.openxmlformats.org/officeDocument/2006/relationships/hyperlink" Target="https://library.mededtech.ru/rest/documents/sp1.2.3685-21/#&#1055;&#1088;&#1077;&#1076;&#1077;&#1083;&#1100;&#1085;&#1086;_&#1076;&#1086;&#1087;&#1091;&#1089;&#1090;&#1080;&#1084;&#1099;&#1077;_&#1079;&#1085;&#1072;&#1095;&#1077;&#1085;&#1080;&#1103;_&#1080;_&#1091;&#1088;&#1086;&#1074;&#1085;&#1080;_&#1087;&#1088;&#1086;&#1080;&#1079;&#1074;&#1086;&#1076;&#1089;&#1090;&#1074;&#1077;&#1085;&#1085;&#1086;&#1081;_&#1074;&#1080;&#1073;&#1088;&#1072;&#1094;&#1080;&#1080;" TargetMode="External"/><Relationship Id="rId26" Type="http://schemas.openxmlformats.org/officeDocument/2006/relationships/hyperlink" Target="https://library.mededtech.ru/rest/documents/rospN02_125/" TargetMode="External"/><Relationship Id="rId27" Type="http://schemas.openxmlformats.org/officeDocument/2006/relationships/hyperlink" Target="https://library.mededtech.ru/rest/documents/rospN02_125/#paragraph_ueiv4s" TargetMode="External"/><Relationship Id="rId28" Type="http://schemas.openxmlformats.org/officeDocument/2006/relationships/image" Target="media/image7.png"/><Relationship Id="rId29" Type="http://schemas.openxmlformats.org/officeDocument/2006/relationships/image" Target="media/image8.png"/><Relationship Id="rId30" Type="http://schemas.openxmlformats.org/officeDocument/2006/relationships/hyperlink" Target="https://library.mededtech.ru/rest/documents/prikazN224/#paragraph_7h5vp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